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63DAE" w:rsidTr="000E4E41">
        <w:tc>
          <w:tcPr>
            <w:tcW w:w="10466" w:type="dxa"/>
            <w:gridSpan w:val="2"/>
          </w:tcPr>
          <w:p w:rsidR="00463D3E" w:rsidRPr="00E63DAE" w:rsidRDefault="00581B11" w:rsidP="00481D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E63DA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E63DAE" w:rsidTr="000E4E41">
        <w:tc>
          <w:tcPr>
            <w:tcW w:w="5233" w:type="dxa"/>
          </w:tcPr>
          <w:p w:rsidR="00BF300C" w:rsidRPr="00E63DAE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E63DAE" w:rsidRDefault="00481D39" w:rsidP="00481D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A35BAF" w:rsidRPr="00E6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E6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E63DAE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E63DAE" w:rsidRDefault="00A35BAF" w:rsidP="00E63DA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63DAE" w:rsidRPr="00E63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63DAE" w:rsidRPr="00E63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93/3</w:t>
            </w:r>
          </w:p>
        </w:tc>
      </w:tr>
    </w:tbl>
    <w:p w:rsidR="00481D39" w:rsidRDefault="00481D39" w:rsidP="00481D39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481D39" w:rsidRDefault="00481D39" w:rsidP="00481D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назначении ответственных в отношении обработки </w:t>
      </w:r>
    </w:p>
    <w:p w:rsidR="00481D39" w:rsidRPr="00481D39" w:rsidRDefault="00481D39" w:rsidP="00481D39">
      <w:pPr>
        <w:spacing w:after="0" w:line="240" w:lineRule="auto"/>
        <w:rPr>
          <w:color w:val="000000" w:themeColor="text1"/>
          <w:sz w:val="24"/>
          <w:szCs w:val="24"/>
        </w:rPr>
      </w:pPr>
      <w:r w:rsidRPr="00481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ОГБУ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481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ыщугский</w:t>
      </w:r>
      <w:r w:rsidRPr="00481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КЦСОН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81D39" w:rsidRDefault="00481D39" w:rsidP="00481D39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481D39" w:rsidRPr="00481D39" w:rsidRDefault="00664B0E" w:rsidP="00481D39">
      <w:pPr>
        <w:pStyle w:val="msw-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1D39">
        <w:rPr>
          <w:color w:val="000000" w:themeColor="text1"/>
        </w:rPr>
        <w:t>В целях исполнения Федерального закона от 27</w:t>
      </w:r>
      <w:r w:rsidR="00E63DAE" w:rsidRPr="00481D39">
        <w:rPr>
          <w:color w:val="000000" w:themeColor="text1"/>
        </w:rPr>
        <w:t>.07.</w:t>
      </w:r>
      <w:r w:rsidRPr="00481D39">
        <w:rPr>
          <w:color w:val="000000" w:themeColor="text1"/>
        </w:rPr>
        <w:t xml:space="preserve">2006 № 152-ФЗ «О персональных данных», Постановления Правительства Российской Федерации от </w:t>
      </w:r>
      <w:r w:rsidR="00E63DAE" w:rsidRPr="00481D39">
        <w:rPr>
          <w:color w:val="000000" w:themeColor="text1"/>
        </w:rPr>
        <w:t>0</w:t>
      </w:r>
      <w:r w:rsidRPr="00481D39">
        <w:rPr>
          <w:color w:val="000000" w:themeColor="text1"/>
        </w:rPr>
        <w:t>1</w:t>
      </w:r>
      <w:r w:rsidR="00E63DAE" w:rsidRPr="00481D39">
        <w:rPr>
          <w:color w:val="000000" w:themeColor="text1"/>
        </w:rPr>
        <w:t>.11.</w:t>
      </w:r>
      <w:r w:rsidRPr="00481D39">
        <w:rPr>
          <w:color w:val="000000" w:themeColor="text1"/>
        </w:rPr>
        <w:t>2012 № 1119 «Об утверждении требований к защите персональных данных при их обработке в информационных системах персональных данных», специальных требований и рекомендаций по технической защите конфиденциальной информации (СТР-К), Приказа ФСТЭК России от 18</w:t>
      </w:r>
      <w:r w:rsidR="00E63DAE" w:rsidRPr="00481D39">
        <w:rPr>
          <w:color w:val="000000" w:themeColor="text1"/>
        </w:rPr>
        <w:t>.02.</w:t>
      </w:r>
      <w:r w:rsidRPr="00481D39">
        <w:rPr>
          <w:color w:val="000000" w:themeColor="text1"/>
        </w:rPr>
        <w:t xml:space="preserve">2013 </w:t>
      </w:r>
      <w:r w:rsidR="00E63DAE" w:rsidRPr="00481D39">
        <w:rPr>
          <w:color w:val="000000" w:themeColor="text1"/>
        </w:rPr>
        <w:t>№</w:t>
      </w:r>
      <w:r w:rsidRPr="00481D39">
        <w:rPr>
          <w:color w:val="000000" w:themeColor="text1"/>
        </w:rPr>
        <w:t xml:space="preserve">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E63DAE" w:rsidRPr="00481D39">
        <w:rPr>
          <w:color w:val="000000" w:themeColor="text1"/>
        </w:rPr>
        <w:t xml:space="preserve">, </w:t>
      </w:r>
    </w:p>
    <w:p w:rsidR="00664B0E" w:rsidRPr="00481D39" w:rsidRDefault="00664B0E" w:rsidP="00481D39">
      <w:pPr>
        <w:pStyle w:val="msw-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1D39">
        <w:rPr>
          <w:color w:val="000000" w:themeColor="text1"/>
        </w:rPr>
        <w:t>приказываю:</w:t>
      </w:r>
    </w:p>
    <w:p w:rsidR="00664B0E" w:rsidRPr="00481D39" w:rsidRDefault="00664B0E" w:rsidP="00481D39">
      <w:pPr>
        <w:pStyle w:val="msw-text"/>
        <w:numPr>
          <w:ilvl w:val="0"/>
          <w:numId w:val="16"/>
        </w:numPr>
        <w:ind w:left="0" w:firstLine="709"/>
        <w:jc w:val="both"/>
        <w:rPr>
          <w:color w:val="000000" w:themeColor="text1"/>
        </w:rPr>
      </w:pPr>
      <w:r w:rsidRPr="00481D39">
        <w:rPr>
          <w:color w:val="000000" w:themeColor="text1"/>
        </w:rPr>
        <w:t xml:space="preserve">Ввести в ОГБУ </w:t>
      </w:r>
      <w:r w:rsidR="00E63DAE" w:rsidRPr="00481D39">
        <w:rPr>
          <w:color w:val="000000" w:themeColor="text1"/>
        </w:rPr>
        <w:t>«</w:t>
      </w:r>
      <w:r w:rsidRPr="00481D39">
        <w:rPr>
          <w:color w:val="000000" w:themeColor="text1"/>
        </w:rPr>
        <w:t>П</w:t>
      </w:r>
      <w:r w:rsidR="00481D39" w:rsidRPr="00481D39">
        <w:rPr>
          <w:color w:val="000000" w:themeColor="text1"/>
        </w:rPr>
        <w:t>ыщугский</w:t>
      </w:r>
      <w:r w:rsidRPr="00481D39">
        <w:rPr>
          <w:color w:val="000000" w:themeColor="text1"/>
        </w:rPr>
        <w:t xml:space="preserve"> КЦСОН</w:t>
      </w:r>
      <w:r w:rsidR="00E63DAE" w:rsidRPr="00481D39">
        <w:rPr>
          <w:color w:val="000000" w:themeColor="text1"/>
        </w:rPr>
        <w:t xml:space="preserve">» </w:t>
      </w:r>
      <w:r w:rsidRPr="00481D39">
        <w:rPr>
          <w:color w:val="000000" w:themeColor="text1"/>
        </w:rPr>
        <w:t>режим обработки и защиты персональных данных.</w:t>
      </w:r>
    </w:p>
    <w:p w:rsidR="00664B0E" w:rsidRPr="00481D39" w:rsidRDefault="00E63DAE" w:rsidP="00481D39">
      <w:pPr>
        <w:pStyle w:val="a8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64B0E" w:rsidRPr="0048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азначить ответственным за организацию обработки персональных данных следующего работника: Главный бухгалтер - Ильина Татьяна Валерьевна</w:t>
      </w:r>
      <w:r w:rsidRPr="0048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4B0E" w:rsidRPr="00481D39" w:rsidRDefault="00E63DAE" w:rsidP="00481D39">
      <w:pPr>
        <w:pStyle w:val="a8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64B0E" w:rsidRPr="0048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азначить ответственным за обеспечение безопасности персональных данных в информационной системе персональных данных следующего работника: Главный бухгалтер - Ильина Татьяна Валерьевна.</w:t>
      </w:r>
    </w:p>
    <w:p w:rsidR="00664B0E" w:rsidRPr="00481D39" w:rsidRDefault="00664B0E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 и внедрить документы, определяющие политику в отношении обработки персональных данных, локальные акты по вопросам обработки и защиты персональных данных.</w:t>
      </w:r>
    </w:p>
    <w:p w:rsidR="00664B0E" w:rsidRPr="00481D39" w:rsidRDefault="00664B0E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применение необходимых правовых, организационных и технических мер по защите персональных данных, в соответствии с законодательством РФ о персональных данных.</w:t>
      </w:r>
    </w:p>
    <w:p w:rsidR="00664B0E" w:rsidRPr="00481D39" w:rsidRDefault="00664B0E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Инструкцию ответственного за организацию обработки персональных данных (прил</w:t>
      </w:r>
      <w:r w:rsidR="00481D39"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ожение</w:t>
      </w: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№1) и Инструкцию ответственного за обеспечение безопас</w:t>
      </w:r>
      <w:r w:rsidR="00481D39"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ности персональных данных (приложение</w:t>
      </w: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№2).</w:t>
      </w:r>
    </w:p>
    <w:p w:rsidR="00664B0E" w:rsidRPr="00481D39" w:rsidRDefault="00664B0E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Возложить на ответственного за организацию обработки персональных данных обязанности, предусмотренные Инструкцией ответственного за организацию обработки персональных данных.</w:t>
      </w:r>
    </w:p>
    <w:p w:rsidR="00664B0E" w:rsidRPr="00481D39" w:rsidRDefault="00664B0E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Возложить на ответственного за обеспечение безопасности персональных данных в информационной системе персональных данных обязанности, предусмотренные Инструкцией ответственного за обеспечение безопасности персональных данных.</w:t>
      </w:r>
    </w:p>
    <w:p w:rsidR="00481D39" w:rsidRPr="00481D39" w:rsidRDefault="00481D39" w:rsidP="00481D39">
      <w:pPr>
        <w:pStyle w:val="a8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3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приказа оставляю за собой.</w:t>
      </w:r>
    </w:p>
    <w:p w:rsidR="00664B0E" w:rsidRDefault="00664B0E" w:rsidP="00481D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D39" w:rsidRDefault="00481D39" w:rsidP="00481D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D39" w:rsidRPr="00481D39" w:rsidRDefault="00481D39" w:rsidP="00481D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В.П. Малухина</w:t>
      </w:r>
    </w:p>
    <w:p w:rsidR="009D76AC" w:rsidRPr="00664B0E" w:rsidRDefault="00664B0E" w:rsidP="00664B0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E63DAE" w:rsidTr="000E4E41">
        <w:tc>
          <w:tcPr>
            <w:tcW w:w="10466" w:type="dxa"/>
          </w:tcPr>
          <w:p w:rsidR="009D76AC" w:rsidRPr="00E63DAE" w:rsidRDefault="009D76AC" w:rsidP="000E4E4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  <w:r w:rsidR="00E63DAE" w:rsidRPr="00E63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81D39" w:rsidRDefault="00E63DAE" w:rsidP="00481D3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9D76AC" w:rsidRPr="00E63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директора ОГБУ «Пыщугский КЦСОН» </w:t>
            </w:r>
          </w:p>
          <w:p w:rsidR="009D76AC" w:rsidRPr="00E63DAE" w:rsidRDefault="00481D39" w:rsidP="00481D3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08.10.2021 № 93/3</w:t>
            </w:r>
          </w:p>
          <w:p w:rsidR="009D76AC" w:rsidRPr="00E63DAE" w:rsidRDefault="009D76AC" w:rsidP="000E4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1D39" w:rsidRDefault="009D76AC" w:rsidP="009D76A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E63DAE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76AC" w:rsidRPr="0055462E" w:rsidRDefault="009D76AC" w:rsidP="00481D39">
      <w:pPr>
        <w:spacing w:after="0" w:line="240" w:lineRule="auto"/>
        <w:jc w:val="center"/>
        <w:rPr>
          <w:rFonts w:eastAsia="Times New Roman" w:cs="Dubai"/>
          <w:b/>
          <w:bCs/>
          <w:color w:val="000000"/>
          <w:sz w:val="30"/>
          <w:szCs w:val="30"/>
          <w:lang w:eastAsia="ru-RU"/>
        </w:rPr>
      </w:pP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</w:t>
      </w:r>
      <w:r w:rsidR="00E63DAE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рганизацию</w:t>
      </w:r>
      <w:r w:rsidR="00E63DAE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обработки</w:t>
      </w:r>
      <w:r w:rsidR="00E63DAE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</w:t>
      </w:r>
      <w:r w:rsidR="00E63DAE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</w:p>
    <w:p w:rsidR="009D76AC" w:rsidRPr="00BA0CA0" w:rsidRDefault="009D76AC" w:rsidP="00E63DAE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права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ответственного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(далее — Ответственный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обработки) в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ОГБУ «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Оператор).</w:t>
      </w:r>
    </w:p>
    <w:p w:rsidR="009D76AC" w:rsidRPr="00BA0CA0" w:rsidRDefault="009D76AC" w:rsidP="00E63DAE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«Приказом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данных».</w:t>
      </w:r>
    </w:p>
    <w:p w:rsidR="009D76AC" w:rsidRPr="00BA0CA0" w:rsidRDefault="009D76AC" w:rsidP="00E63DAE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 152-ФЗ «О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данных», постановлением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.09.2008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687 «Об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осуществляемой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автоматизации», иными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настоящей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инструкцией.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роспись.</w:t>
      </w:r>
    </w:p>
    <w:p w:rsidR="009D76AC" w:rsidRPr="00BA0CA0" w:rsidRDefault="009D76AC" w:rsidP="00E63DA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E63DAE"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9D76AC" w:rsidRPr="00E63DAE" w:rsidRDefault="00E63DAE" w:rsidP="00E63DAE">
      <w:pPr>
        <w:pStyle w:val="a8"/>
        <w:numPr>
          <w:ilvl w:val="0"/>
          <w:numId w:val="4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организационно-распорядительных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регламентирующих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поддержанию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состоянии;</w:t>
      </w:r>
    </w:p>
    <w:p w:rsidR="009D76AC" w:rsidRPr="00E63DAE" w:rsidRDefault="00E63DAE" w:rsidP="00E63DAE">
      <w:pPr>
        <w:pStyle w:val="a8"/>
        <w:numPr>
          <w:ilvl w:val="0"/>
          <w:numId w:val="4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E63DAE" w:rsidRDefault="00E63DAE" w:rsidP="00E63DAE">
      <w:pPr>
        <w:pStyle w:val="a8"/>
        <w:numPr>
          <w:ilvl w:val="0"/>
          <w:numId w:val="4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допущенных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системами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вести «Журнал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 w:rsidR="00BA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сотрудниками»;</w:t>
      </w:r>
    </w:p>
    <w:p w:rsidR="009D76AC" w:rsidRPr="00E63DAE" w:rsidRDefault="00BA0CA0" w:rsidP="00E63DAE">
      <w:pPr>
        <w:pStyle w:val="a8"/>
        <w:numPr>
          <w:ilvl w:val="0"/>
          <w:numId w:val="4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локальных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E6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нициировать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информационных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контролировать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«Журнала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нештатной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«Инструкцией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ситуаций»;</w:t>
      </w:r>
    </w:p>
    <w:p w:rsidR="009D76AC" w:rsidRPr="000E4E41" w:rsidRDefault="000E4E41" w:rsidP="00BA0CA0">
      <w:pPr>
        <w:pStyle w:val="a8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определяющего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в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 дней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утверждения.</w:t>
      </w:r>
    </w:p>
    <w:p w:rsidR="009D76AC" w:rsidRPr="000E4E41" w:rsidRDefault="009D76AC" w:rsidP="000E4E4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0E4E41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E4E41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0E4E41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0E4E41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0E4E41"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9D76AC" w:rsidRPr="000E4E41" w:rsidRDefault="000E4E41" w:rsidP="000E4E41">
      <w:pPr>
        <w:pStyle w:val="a8"/>
        <w:numPr>
          <w:ilvl w:val="0"/>
          <w:numId w:val="4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ребовать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0E4E41" w:rsidRDefault="000E4E41" w:rsidP="000E4E41">
      <w:pPr>
        <w:pStyle w:val="a8"/>
        <w:numPr>
          <w:ilvl w:val="0"/>
          <w:numId w:val="4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ребовать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неправомерного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обработки;</w:t>
      </w:r>
    </w:p>
    <w:p w:rsidR="009D76AC" w:rsidRPr="000E4E41" w:rsidRDefault="000E4E41" w:rsidP="000E4E41">
      <w:pPr>
        <w:pStyle w:val="a8"/>
        <w:numPr>
          <w:ilvl w:val="0"/>
          <w:numId w:val="4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мер;</w:t>
      </w:r>
    </w:p>
    <w:p w:rsidR="009D76AC" w:rsidRPr="000E4E41" w:rsidRDefault="000E4E41" w:rsidP="000E4E41">
      <w:pPr>
        <w:pStyle w:val="a8"/>
        <w:numPr>
          <w:ilvl w:val="0"/>
          <w:numId w:val="4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9D76AC" w:rsidRPr="000E4E41" w:rsidRDefault="009D76AC" w:rsidP="000E4E41">
      <w:pPr>
        <w:spacing w:before="240"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Ответственныйзаорганизациюобработкинесётперсональнуюответственностьзакачествопроводимыхимработпоорганизацииобработкиперсональныхданных.</w:t>
      </w:r>
    </w:p>
    <w:p w:rsidR="009D76AC" w:rsidRPr="000E4E41" w:rsidRDefault="009D76AC" w:rsidP="000E4E4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ограниченного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доступа, ставшей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известной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в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0E4E41"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780E74" w:rsidRPr="00780E74" w:rsidRDefault="00780E74" w:rsidP="009D76AC">
      <w:pPr>
        <w:spacing w:before="240" w:after="0" w:line="276" w:lineRule="auto"/>
        <w:rPr>
          <w:rFonts w:eastAsia="Times New Roman" w:cs="Dubai"/>
          <w:color w:val="00000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780E74" w:rsidRPr="000E4E41" w:rsidTr="000E4E41">
        <w:tc>
          <w:tcPr>
            <w:tcW w:w="3485" w:type="dxa"/>
          </w:tcPr>
          <w:p w:rsidR="00780E74" w:rsidRPr="000E4E41" w:rsidRDefault="00481D39" w:rsidP="00481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780E74" w:rsidRPr="000E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:rsidR="00780E74" w:rsidRPr="000E4E41" w:rsidRDefault="00780E74" w:rsidP="000E4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74" w:rsidRPr="000E4E41" w:rsidRDefault="00780E74" w:rsidP="000E4E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E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86" w:type="dxa"/>
          </w:tcPr>
          <w:p w:rsidR="00780E74" w:rsidRPr="000E4E41" w:rsidRDefault="00481D39" w:rsidP="00481D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E41">
              <w:rPr>
                <w:rFonts w:ascii="Times New Roman" w:hAnsi="Times New Roman" w:cs="Times New Roman"/>
                <w:sz w:val="24"/>
                <w:szCs w:val="24"/>
              </w:rPr>
              <w:t>Ильина Татьяна Валерьевна</w:t>
            </w:r>
          </w:p>
        </w:tc>
      </w:tr>
    </w:tbl>
    <w:p w:rsidR="00780E74" w:rsidRPr="00780E74" w:rsidRDefault="00780E74" w:rsidP="009D76AC">
      <w:pPr>
        <w:spacing w:before="240" w:after="0" w:line="276" w:lineRule="auto"/>
        <w:rPr>
          <w:rFonts w:eastAsia="Times New Roman" w:cs="Dubai"/>
          <w:color w:val="000000"/>
          <w:lang w:eastAsia="ru-RU"/>
        </w:rPr>
      </w:pPr>
    </w:p>
    <w:p w:rsidR="009D76AC" w:rsidRDefault="009D76A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hAnsi="Calibri" w:cs="Calibri"/>
          <w:color w:val="00000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0E4E41" w:rsidTr="000E4E41">
        <w:tc>
          <w:tcPr>
            <w:tcW w:w="10466" w:type="dxa"/>
          </w:tcPr>
          <w:p w:rsidR="009D76AC" w:rsidRPr="000E4E41" w:rsidRDefault="009D76AC" w:rsidP="000E4E4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  <w:r w:rsidR="000E4E41" w:rsidRPr="000E4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4E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81D39" w:rsidRDefault="000E4E41" w:rsidP="00481D3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9D76AC" w:rsidRPr="000E4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Приказу</w:t>
            </w:r>
            <w:r w:rsidRPr="000E4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1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директора ОГБУ «Пыщугский КЦСОН» </w:t>
            </w:r>
          </w:p>
          <w:p w:rsidR="009D76AC" w:rsidRPr="000E4E41" w:rsidRDefault="00481D39" w:rsidP="00481D3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08.10.2021 № 93/3</w:t>
            </w:r>
          </w:p>
          <w:p w:rsidR="009D76AC" w:rsidRPr="000E4E41" w:rsidRDefault="009D76AC" w:rsidP="000E4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1D39" w:rsidRDefault="009D76AC" w:rsidP="0048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76AC" w:rsidRPr="00481D39" w:rsidRDefault="009D76AC" w:rsidP="00481D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</w:t>
      </w:r>
      <w:r w:rsidR="000E4E41"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</w:p>
    <w:p w:rsidR="009D76AC" w:rsidRPr="000E4E41" w:rsidRDefault="009D76AC" w:rsidP="000E4E4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права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ответственного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(далее — 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безопасности) в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ОГБУ 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Оператор).</w:t>
      </w:r>
    </w:p>
    <w:p w:rsidR="009D76AC" w:rsidRPr="000E4E41" w:rsidRDefault="009D76AC" w:rsidP="000E4E4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«Приказом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данных».</w:t>
      </w:r>
    </w:p>
    <w:p w:rsidR="009D76AC" w:rsidRPr="0055462E" w:rsidRDefault="009D76AC" w:rsidP="000E4E41">
      <w:pPr>
        <w:spacing w:before="240" w:after="0" w:line="276" w:lineRule="auto"/>
        <w:ind w:firstLine="709"/>
        <w:jc w:val="both"/>
        <w:rPr>
          <w:rFonts w:eastAsia="Times New Roman" w:cs="Dubai"/>
          <w:color w:val="000000"/>
          <w:lang w:eastAsia="ru-RU"/>
        </w:rPr>
      </w:pP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 № 152-ФЗ «О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данных», постановлением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№ 1119 «Об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данных», иными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настоящей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инструкцией.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ознакомляется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r w:rsidRPr="0055462E">
        <w:rPr>
          <w:rFonts w:eastAsia="Times New Roman" w:cs="Dubai"/>
          <w:color w:val="000000"/>
          <w:lang w:eastAsia="ru-RU"/>
        </w:rPr>
        <w:t>.</w:t>
      </w:r>
    </w:p>
    <w:p w:rsidR="009D76AC" w:rsidRPr="00CB0A8B" w:rsidRDefault="009D76AC" w:rsidP="00CB0A8B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допущенными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«Приказом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несанкционированного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«Инструкцией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обеспечения,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«Журнала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данных»;</w:t>
      </w:r>
    </w:p>
    <w:p w:rsidR="009D76AC" w:rsidRPr="00CB0A8B" w:rsidRDefault="00CB0A8B" w:rsidP="00CB0A8B">
      <w:pPr>
        <w:pStyle w:val="a8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инцидентах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9D76AC" w:rsidRPr="00CB0A8B" w:rsidRDefault="00CB0A8B" w:rsidP="00CB0A8B">
      <w:pPr>
        <w:pStyle w:val="a8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«Инструкцией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данных».</w:t>
      </w:r>
    </w:p>
    <w:p w:rsidR="009D76AC" w:rsidRPr="00CB0A8B" w:rsidRDefault="009D76AC" w:rsidP="00CB0A8B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9D76AC" w:rsidRPr="00CB0A8B" w:rsidRDefault="00CB0A8B" w:rsidP="00CB0A8B">
      <w:pPr>
        <w:pStyle w:val="a8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CB0A8B" w:rsidRDefault="00CB0A8B" w:rsidP="00CB0A8B">
      <w:pPr>
        <w:pStyle w:val="a8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9D76AC" w:rsidRPr="00CB0A8B" w:rsidRDefault="00CB0A8B" w:rsidP="00CB0A8B">
      <w:pPr>
        <w:pStyle w:val="a8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9D76AC" w:rsidRDefault="009D76AC" w:rsidP="009D76AC">
      <w:pPr>
        <w:spacing w:after="0" w:line="276" w:lineRule="auto"/>
        <w:rPr>
          <w:rFonts w:eastAsia="Times New Roman"/>
          <w:color w:val="000000"/>
          <w:lang w:eastAsia="ru-RU"/>
        </w:rPr>
      </w:pPr>
    </w:p>
    <w:p w:rsidR="009D76AC" w:rsidRPr="00CB0A8B" w:rsidRDefault="009D76AC" w:rsidP="00CB0A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ограниченного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доступа, ставшей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известной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в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4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4A347B" w:rsidRPr="009D76AC" w:rsidRDefault="004A347B" w:rsidP="009D76AC">
      <w:pPr>
        <w:spacing w:line="276" w:lineRule="auto"/>
        <w:rPr>
          <w:rFonts w:eastAsia="Times New Roman" w:cs="Dubai"/>
          <w:color w:val="00000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4A347B" w:rsidRPr="0014306A" w:rsidTr="000E4E41">
        <w:tc>
          <w:tcPr>
            <w:tcW w:w="3485" w:type="dxa"/>
          </w:tcPr>
          <w:p w:rsidR="004A347B" w:rsidRPr="0014306A" w:rsidRDefault="00481D39" w:rsidP="00481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4A347B" w:rsidRPr="0014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:rsidR="004A347B" w:rsidRPr="0014306A" w:rsidRDefault="004A347B" w:rsidP="000E4E4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A347B" w:rsidRPr="0014306A" w:rsidRDefault="004A347B" w:rsidP="000E4E41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306A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486" w:type="dxa"/>
          </w:tcPr>
          <w:p w:rsidR="004A347B" w:rsidRPr="0014306A" w:rsidRDefault="00481D39" w:rsidP="00481D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A">
              <w:rPr>
                <w:rFonts w:ascii="Times New Roman" w:hAnsi="Times New Roman" w:cs="Times New Roman"/>
                <w:sz w:val="24"/>
                <w:szCs w:val="24"/>
              </w:rPr>
              <w:t>Ильина Татьяна Валерьевна</w:t>
            </w:r>
          </w:p>
        </w:tc>
      </w:tr>
    </w:tbl>
    <w:p w:rsidR="009D76AC" w:rsidRPr="009D76AC" w:rsidRDefault="009D76AC" w:rsidP="009D76AC">
      <w:pPr>
        <w:pStyle w:val="msw-text"/>
        <w:spacing w:before="240" w:beforeAutospacing="0"/>
        <w:jc w:val="both"/>
        <w:rPr>
          <w:rFonts w:ascii="Calibri" w:hAnsi="Calibri" w:cs="Calibri"/>
          <w:color w:val="000000"/>
        </w:rPr>
      </w:pPr>
    </w:p>
    <w:sectPr w:rsidR="009D76AC" w:rsidRPr="009D76AC" w:rsidSect="00883E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A8" w:rsidRDefault="007018A8" w:rsidP="00CB665C">
      <w:pPr>
        <w:spacing w:after="0" w:line="240" w:lineRule="auto"/>
      </w:pPr>
      <w:r>
        <w:separator/>
      </w:r>
    </w:p>
  </w:endnote>
  <w:endnote w:type="continuationSeparator" w:id="1">
    <w:p w:rsidR="007018A8" w:rsidRDefault="007018A8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41" w:rsidRDefault="000E4E41">
    <w:pPr>
      <w:pStyle w:val="a5"/>
    </w:pPr>
  </w:p>
  <w:p w:rsidR="000E4E41" w:rsidRDefault="000E4E41"/>
  <w:p w:rsidR="000E4E41" w:rsidRDefault="000E4E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41" w:rsidRPr="008337BF" w:rsidRDefault="000E4E41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0E4E41" w:rsidRPr="005E038F" w:rsidRDefault="000E4E41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41" w:rsidRPr="008337BF" w:rsidRDefault="000E4E41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0E4E41" w:rsidRDefault="000E4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A8" w:rsidRDefault="007018A8" w:rsidP="00CB665C">
      <w:pPr>
        <w:spacing w:after="0" w:line="240" w:lineRule="auto"/>
      </w:pPr>
      <w:r>
        <w:separator/>
      </w:r>
    </w:p>
  </w:footnote>
  <w:footnote w:type="continuationSeparator" w:id="1">
    <w:p w:rsidR="007018A8" w:rsidRDefault="007018A8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0E4E41" w:rsidRPr="000946CE" w:rsidTr="000E4E41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0E4E41" w:rsidRPr="000946CE" w:rsidRDefault="000E4E41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0E4E41" w:rsidRPr="000946CE" w:rsidRDefault="000E4E41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0E4E41" w:rsidRPr="006A2852" w:rsidRDefault="000E4E41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0E4E41" w:rsidRPr="000946CE" w:rsidRDefault="000E4E41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0E4E41" w:rsidRPr="000946CE" w:rsidTr="000E4E41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0E4E41" w:rsidRPr="000946CE" w:rsidRDefault="000E4E41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0E4E41" w:rsidRPr="00165369" w:rsidRDefault="000E4E41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E4E41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E4E41" w:rsidRPr="000946CE" w:rsidRDefault="000E4E41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«О назначении ответственных в отношении обработки персональных данных»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E4E41" w:rsidRPr="000946CE" w:rsidRDefault="000E4E41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6EF9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6EF9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BF759F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E4E41" w:rsidRDefault="000E4E4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0E4E41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0E4E41" w:rsidRPr="000946CE" w:rsidRDefault="000E4E41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0E4E41" w:rsidRPr="000946CE" w:rsidRDefault="000E4E41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0E4E41" w:rsidRPr="006A2852" w:rsidRDefault="000E4E41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0E4E41" w:rsidRPr="000946CE" w:rsidRDefault="000E4E41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0E4E41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0E4E41" w:rsidRPr="000946CE" w:rsidRDefault="000E4E41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0E4E41" w:rsidRPr="00165369" w:rsidRDefault="000E4E41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E4E41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0E4E41" w:rsidRPr="000946CE" w:rsidRDefault="000E4E4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«О назначении ответственных в отношении обработки персональных данных»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0E4E41" w:rsidRPr="000946CE" w:rsidRDefault="000E4E41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6EF9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BF759F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6EF9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BF759F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E4E41" w:rsidRPr="000946CE" w:rsidRDefault="000E4E41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BD"/>
    <w:multiLevelType w:val="hybridMultilevel"/>
    <w:tmpl w:val="72628B24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256"/>
    <w:multiLevelType w:val="hybridMultilevel"/>
    <w:tmpl w:val="8BD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4722DB"/>
    <w:multiLevelType w:val="hybridMultilevel"/>
    <w:tmpl w:val="AD0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23622C4D"/>
    <w:multiLevelType w:val="hybridMultilevel"/>
    <w:tmpl w:val="732E0F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8A6320C"/>
    <w:multiLevelType w:val="hybridMultilevel"/>
    <w:tmpl w:val="3E604422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5BD"/>
    <w:multiLevelType w:val="hybridMultilevel"/>
    <w:tmpl w:val="1AE2ABF8"/>
    <w:lvl w:ilvl="0" w:tplc="3354A4B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F84"/>
    <w:multiLevelType w:val="hybridMultilevel"/>
    <w:tmpl w:val="872A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1C3E"/>
    <w:multiLevelType w:val="hybridMultilevel"/>
    <w:tmpl w:val="39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F545A"/>
    <w:multiLevelType w:val="hybridMultilevel"/>
    <w:tmpl w:val="856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317A8"/>
    <w:multiLevelType w:val="hybridMultilevel"/>
    <w:tmpl w:val="B2E8133A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84B88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370D5D"/>
    <w:multiLevelType w:val="hybridMultilevel"/>
    <w:tmpl w:val="986E39E4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C02F5"/>
    <w:multiLevelType w:val="hybridMultilevel"/>
    <w:tmpl w:val="643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F04D5"/>
    <w:multiLevelType w:val="hybridMultilevel"/>
    <w:tmpl w:val="F60A6562"/>
    <w:lvl w:ilvl="0" w:tplc="D75C60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52EE0"/>
    <w:multiLevelType w:val="hybridMultilevel"/>
    <w:tmpl w:val="0E7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8649E"/>
    <w:multiLevelType w:val="hybridMultilevel"/>
    <w:tmpl w:val="A7304B68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04515"/>
    <w:multiLevelType w:val="hybridMultilevel"/>
    <w:tmpl w:val="F84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80409"/>
    <w:multiLevelType w:val="hybridMultilevel"/>
    <w:tmpl w:val="E0F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8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0">
    <w:nsid w:val="73874F3B"/>
    <w:multiLevelType w:val="hybridMultilevel"/>
    <w:tmpl w:val="AC2EF8BA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426467"/>
    <w:multiLevelType w:val="hybridMultilevel"/>
    <w:tmpl w:val="3A58B5D0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5"/>
  </w:num>
  <w:num w:numId="4">
    <w:abstractNumId w:val="41"/>
  </w:num>
  <w:num w:numId="5">
    <w:abstractNumId w:val="18"/>
  </w:num>
  <w:num w:numId="6">
    <w:abstractNumId w:val="38"/>
  </w:num>
  <w:num w:numId="7">
    <w:abstractNumId w:val="44"/>
  </w:num>
  <w:num w:numId="8">
    <w:abstractNumId w:val="13"/>
  </w:num>
  <w:num w:numId="9">
    <w:abstractNumId w:val="24"/>
  </w:num>
  <w:num w:numId="10">
    <w:abstractNumId w:val="7"/>
  </w:num>
  <w:num w:numId="11">
    <w:abstractNumId w:val="36"/>
  </w:num>
  <w:num w:numId="12">
    <w:abstractNumId w:val="22"/>
  </w:num>
  <w:num w:numId="13">
    <w:abstractNumId w:val="43"/>
  </w:num>
  <w:num w:numId="14">
    <w:abstractNumId w:val="11"/>
  </w:num>
  <w:num w:numId="15">
    <w:abstractNumId w:val="5"/>
  </w:num>
  <w:num w:numId="16">
    <w:abstractNumId w:val="39"/>
  </w:num>
  <w:num w:numId="17">
    <w:abstractNumId w:val="8"/>
  </w:num>
  <w:num w:numId="18">
    <w:abstractNumId w:val="23"/>
  </w:num>
  <w:num w:numId="19">
    <w:abstractNumId w:val="19"/>
  </w:num>
  <w:num w:numId="20">
    <w:abstractNumId w:val="30"/>
  </w:num>
  <w:num w:numId="21">
    <w:abstractNumId w:val="3"/>
  </w:num>
  <w:num w:numId="22">
    <w:abstractNumId w:val="2"/>
  </w:num>
  <w:num w:numId="23">
    <w:abstractNumId w:val="42"/>
  </w:num>
  <w:num w:numId="24">
    <w:abstractNumId w:val="1"/>
  </w:num>
  <w:num w:numId="25">
    <w:abstractNumId w:val="29"/>
  </w:num>
  <w:num w:numId="26">
    <w:abstractNumId w:val="31"/>
  </w:num>
  <w:num w:numId="27">
    <w:abstractNumId w:val="9"/>
  </w:num>
  <w:num w:numId="28">
    <w:abstractNumId w:val="28"/>
  </w:num>
  <w:num w:numId="29">
    <w:abstractNumId w:val="17"/>
  </w:num>
  <w:num w:numId="30">
    <w:abstractNumId w:val="27"/>
  </w:num>
  <w:num w:numId="31">
    <w:abstractNumId w:val="20"/>
  </w:num>
  <w:num w:numId="32">
    <w:abstractNumId w:val="33"/>
  </w:num>
  <w:num w:numId="33">
    <w:abstractNumId w:val="45"/>
  </w:num>
  <w:num w:numId="34">
    <w:abstractNumId w:val="21"/>
  </w:num>
  <w:num w:numId="35">
    <w:abstractNumId w:val="40"/>
  </w:num>
  <w:num w:numId="36">
    <w:abstractNumId w:val="0"/>
  </w:num>
  <w:num w:numId="37">
    <w:abstractNumId w:val="35"/>
  </w:num>
  <w:num w:numId="38">
    <w:abstractNumId w:val="10"/>
  </w:num>
  <w:num w:numId="39">
    <w:abstractNumId w:val="12"/>
  </w:num>
  <w:num w:numId="40">
    <w:abstractNumId w:val="26"/>
  </w:num>
  <w:num w:numId="41">
    <w:abstractNumId w:val="34"/>
  </w:num>
  <w:num w:numId="42">
    <w:abstractNumId w:val="4"/>
  </w:num>
  <w:num w:numId="43">
    <w:abstractNumId w:val="32"/>
  </w:num>
  <w:num w:numId="44">
    <w:abstractNumId w:val="6"/>
  </w:num>
  <w:num w:numId="45">
    <w:abstractNumId w:val="16"/>
  </w:num>
  <w:num w:numId="46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B2E26"/>
    <w:rsid w:val="000E161D"/>
    <w:rsid w:val="000E4E41"/>
    <w:rsid w:val="000F4C94"/>
    <w:rsid w:val="0014306A"/>
    <w:rsid w:val="00165369"/>
    <w:rsid w:val="001847EF"/>
    <w:rsid w:val="00192A0E"/>
    <w:rsid w:val="001B10F6"/>
    <w:rsid w:val="001B61A8"/>
    <w:rsid w:val="001D3F01"/>
    <w:rsid w:val="00200A4F"/>
    <w:rsid w:val="00241ABD"/>
    <w:rsid w:val="002859F5"/>
    <w:rsid w:val="002864FC"/>
    <w:rsid w:val="00293B0B"/>
    <w:rsid w:val="002B5321"/>
    <w:rsid w:val="002F26A0"/>
    <w:rsid w:val="003011ED"/>
    <w:rsid w:val="00314CB1"/>
    <w:rsid w:val="00347361"/>
    <w:rsid w:val="00356EF9"/>
    <w:rsid w:val="00362159"/>
    <w:rsid w:val="003774E9"/>
    <w:rsid w:val="0038448F"/>
    <w:rsid w:val="00394716"/>
    <w:rsid w:val="003B74E7"/>
    <w:rsid w:val="00414E5C"/>
    <w:rsid w:val="0042129F"/>
    <w:rsid w:val="00441ACF"/>
    <w:rsid w:val="00463D3E"/>
    <w:rsid w:val="00475D69"/>
    <w:rsid w:val="00481D39"/>
    <w:rsid w:val="00494FF6"/>
    <w:rsid w:val="004A347B"/>
    <w:rsid w:val="004E155F"/>
    <w:rsid w:val="00510B0C"/>
    <w:rsid w:val="005273D4"/>
    <w:rsid w:val="005573FD"/>
    <w:rsid w:val="00581B11"/>
    <w:rsid w:val="005A4A1D"/>
    <w:rsid w:val="005E038F"/>
    <w:rsid w:val="00616E3D"/>
    <w:rsid w:val="006218AF"/>
    <w:rsid w:val="006241CC"/>
    <w:rsid w:val="00625060"/>
    <w:rsid w:val="00651953"/>
    <w:rsid w:val="00664B0E"/>
    <w:rsid w:val="006E4489"/>
    <w:rsid w:val="0070164C"/>
    <w:rsid w:val="007018A8"/>
    <w:rsid w:val="0071445E"/>
    <w:rsid w:val="00721421"/>
    <w:rsid w:val="007246BE"/>
    <w:rsid w:val="00730090"/>
    <w:rsid w:val="007575C1"/>
    <w:rsid w:val="00780E74"/>
    <w:rsid w:val="00787761"/>
    <w:rsid w:val="007A3B5A"/>
    <w:rsid w:val="007E430B"/>
    <w:rsid w:val="00817FD2"/>
    <w:rsid w:val="00825BF3"/>
    <w:rsid w:val="0085254A"/>
    <w:rsid w:val="00865449"/>
    <w:rsid w:val="00883E03"/>
    <w:rsid w:val="008A3880"/>
    <w:rsid w:val="008C7CF7"/>
    <w:rsid w:val="008E60ED"/>
    <w:rsid w:val="008F0AA2"/>
    <w:rsid w:val="0092477D"/>
    <w:rsid w:val="00947FEF"/>
    <w:rsid w:val="00987F33"/>
    <w:rsid w:val="009A1C70"/>
    <w:rsid w:val="009D76AC"/>
    <w:rsid w:val="00A0182D"/>
    <w:rsid w:val="00A20677"/>
    <w:rsid w:val="00A35BAF"/>
    <w:rsid w:val="00A417C4"/>
    <w:rsid w:val="00AC0B97"/>
    <w:rsid w:val="00B57A1D"/>
    <w:rsid w:val="00B62760"/>
    <w:rsid w:val="00B72E26"/>
    <w:rsid w:val="00B92166"/>
    <w:rsid w:val="00B96D6D"/>
    <w:rsid w:val="00BA0CA0"/>
    <w:rsid w:val="00BA32B2"/>
    <w:rsid w:val="00BD2A8D"/>
    <w:rsid w:val="00BE54BB"/>
    <w:rsid w:val="00BE570A"/>
    <w:rsid w:val="00BE6CED"/>
    <w:rsid w:val="00BF300C"/>
    <w:rsid w:val="00BF39AC"/>
    <w:rsid w:val="00BF759F"/>
    <w:rsid w:val="00C10CBC"/>
    <w:rsid w:val="00C321F9"/>
    <w:rsid w:val="00C51C33"/>
    <w:rsid w:val="00C821D0"/>
    <w:rsid w:val="00CB0A8B"/>
    <w:rsid w:val="00CB665C"/>
    <w:rsid w:val="00CE14EF"/>
    <w:rsid w:val="00CE5239"/>
    <w:rsid w:val="00CF69E0"/>
    <w:rsid w:val="00DA19F2"/>
    <w:rsid w:val="00DB14BF"/>
    <w:rsid w:val="00DE1614"/>
    <w:rsid w:val="00DE6EDC"/>
    <w:rsid w:val="00E63DAE"/>
    <w:rsid w:val="00E713A0"/>
    <w:rsid w:val="00EE1F3E"/>
    <w:rsid w:val="00F15B80"/>
    <w:rsid w:val="00F16D1C"/>
    <w:rsid w:val="00FA401E"/>
    <w:rsid w:val="00FB2AF7"/>
    <w:rsid w:val="00FB3432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5C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79A-670C-4235-82F7-0C64B89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49</cp:revision>
  <cp:lastPrinted>2021-12-15T16:21:00Z</cp:lastPrinted>
  <dcterms:created xsi:type="dcterms:W3CDTF">2016-09-29T21:54:00Z</dcterms:created>
  <dcterms:modified xsi:type="dcterms:W3CDTF">2021-12-15T16:22:00Z</dcterms:modified>
</cp:coreProperties>
</file>